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4A9CD0" w14:textId="5C9A01FD" w:rsidR="004011E2" w:rsidRPr="00420442" w:rsidRDefault="004011E2" w:rsidP="000B62E6">
      <w:pPr>
        <w:pStyle w:val="Heading1"/>
        <w:tabs>
          <w:tab w:val="left" w:pos="5529"/>
        </w:tabs>
        <w:rPr>
          <w:rFonts w:ascii="Times New Roman" w:hAnsi="Times New Roman" w:cs="Times New Roman"/>
          <w:b w:val="0"/>
          <w:i/>
          <w:sz w:val="22"/>
          <w:szCs w:val="22"/>
          <w:lang w:val="en-US"/>
        </w:rPr>
      </w:pPr>
      <w:bookmarkStart w:id="0" w:name="OLE_LINK1"/>
      <w:bookmarkStart w:id="1" w:name="OLE_LINK2"/>
      <w:r w:rsidRPr="000D0DFE">
        <w:rPr>
          <w:rFonts w:ascii="Times New Roman" w:hAnsi="Times New Roman" w:cs="Times New Roman"/>
          <w:b w:val="0"/>
          <w:sz w:val="22"/>
          <w:szCs w:val="22"/>
          <w:lang w:val="fr-CH"/>
        </w:rPr>
        <w:tab/>
      </w:r>
      <w:r w:rsidR="00C17FF9">
        <w:rPr>
          <w:rFonts w:ascii="Times New Roman" w:hAnsi="Times New Roman" w:cs="Times New Roman"/>
          <w:b w:val="0"/>
          <w:sz w:val="22"/>
          <w:szCs w:val="22"/>
          <w:lang w:val="en-US"/>
        </w:rPr>
        <w:t xml:space="preserve">Editor </w:t>
      </w:r>
      <w:proofErr w:type="gramStart"/>
      <w:r w:rsidR="005253D8">
        <w:rPr>
          <w:rFonts w:ascii="Times New Roman" w:hAnsi="Times New Roman" w:cs="Times New Roman"/>
          <w:b w:val="0"/>
          <w:sz w:val="22"/>
          <w:szCs w:val="22"/>
          <w:lang w:val="en-US"/>
        </w:rPr>
        <w:t xml:space="preserve">of  </w:t>
      </w:r>
      <w:r w:rsidR="005253D8">
        <w:rPr>
          <w:rFonts w:ascii="Times New Roman" w:hAnsi="Times New Roman" w:cs="Times New Roman"/>
          <w:b w:val="0"/>
          <w:i/>
          <w:sz w:val="22"/>
          <w:szCs w:val="22"/>
          <w:lang w:val="en-US"/>
        </w:rPr>
        <w:t>Chemical</w:t>
      </w:r>
      <w:proofErr w:type="gramEnd"/>
      <w:r w:rsidR="005253D8">
        <w:rPr>
          <w:rFonts w:ascii="Times New Roman" w:hAnsi="Times New Roman" w:cs="Times New Roman"/>
          <w:b w:val="0"/>
          <w:i/>
          <w:sz w:val="22"/>
          <w:szCs w:val="22"/>
          <w:lang w:val="en-US"/>
        </w:rPr>
        <w:t xml:space="preserve"> Communications</w:t>
      </w:r>
    </w:p>
    <w:p w14:paraId="3034ECF9" w14:textId="77777777" w:rsidR="00656D67" w:rsidRPr="007D7AF9" w:rsidRDefault="00656D67" w:rsidP="00656D67">
      <w:pPr>
        <w:rPr>
          <w:rFonts w:ascii="Times New Roman" w:hAnsi="Times New Roman"/>
          <w:sz w:val="22"/>
          <w:szCs w:val="22"/>
          <w:lang w:val="en-US"/>
        </w:rPr>
      </w:pPr>
    </w:p>
    <w:p w14:paraId="7973D49C" w14:textId="40868072" w:rsidR="00656D67" w:rsidRPr="007D7AF9" w:rsidRDefault="001524F4" w:rsidP="00840563">
      <w:pPr>
        <w:tabs>
          <w:tab w:val="left" w:pos="5103"/>
        </w:tabs>
        <w:rPr>
          <w:rFonts w:ascii="Times New Roman" w:hAnsi="Times New Roman"/>
          <w:sz w:val="22"/>
          <w:szCs w:val="22"/>
          <w:lang w:val="en-US"/>
        </w:rPr>
      </w:pPr>
      <w:r w:rsidRPr="007D7AF9">
        <w:rPr>
          <w:rFonts w:ascii="Times New Roman" w:hAnsi="Times New Roman"/>
          <w:sz w:val="22"/>
          <w:szCs w:val="22"/>
          <w:lang w:val="en-US"/>
        </w:rPr>
        <w:tab/>
      </w:r>
      <w:r w:rsidR="00812B10" w:rsidRPr="007D7AF9">
        <w:rPr>
          <w:rFonts w:ascii="Times New Roman" w:hAnsi="Times New Roman"/>
          <w:sz w:val="22"/>
          <w:szCs w:val="22"/>
          <w:lang w:val="en-US"/>
        </w:rPr>
        <w:t>Gen</w:t>
      </w:r>
      <w:r w:rsidR="00730129" w:rsidRPr="007D7AF9">
        <w:rPr>
          <w:rFonts w:ascii="Times New Roman" w:hAnsi="Times New Roman"/>
          <w:sz w:val="22"/>
          <w:szCs w:val="22"/>
          <w:lang w:val="en-US"/>
        </w:rPr>
        <w:t>eva</w:t>
      </w:r>
      <w:r w:rsidR="00812B10" w:rsidRPr="007D7AF9">
        <w:rPr>
          <w:rFonts w:ascii="Times New Roman" w:hAnsi="Times New Roman"/>
          <w:sz w:val="22"/>
          <w:szCs w:val="22"/>
          <w:lang w:val="en-US"/>
        </w:rPr>
        <w:t>,</w:t>
      </w:r>
      <w:r w:rsidR="007D7AF9" w:rsidRPr="007D7AF9">
        <w:rPr>
          <w:rFonts w:ascii="Times New Roman" w:hAnsi="Times New Roman"/>
          <w:sz w:val="22"/>
          <w:szCs w:val="22"/>
          <w:lang w:val="en-US"/>
        </w:rPr>
        <w:t xml:space="preserve"> </w:t>
      </w:r>
      <w:r w:rsidR="005253D8">
        <w:rPr>
          <w:rFonts w:ascii="Times New Roman" w:hAnsi="Times New Roman"/>
          <w:sz w:val="22"/>
          <w:szCs w:val="22"/>
          <w:lang w:val="en-US"/>
        </w:rPr>
        <w:t>July</w:t>
      </w:r>
      <w:r w:rsidR="007D7AF9">
        <w:rPr>
          <w:rFonts w:ascii="Times New Roman" w:hAnsi="Times New Roman"/>
          <w:sz w:val="22"/>
          <w:szCs w:val="22"/>
          <w:lang w:val="en-US"/>
        </w:rPr>
        <w:t xml:space="preserve"> </w:t>
      </w:r>
      <w:r w:rsidR="005253D8">
        <w:rPr>
          <w:rFonts w:ascii="Times New Roman" w:hAnsi="Times New Roman"/>
          <w:sz w:val="22"/>
          <w:szCs w:val="22"/>
          <w:lang w:val="en-US"/>
        </w:rPr>
        <w:t>15</w:t>
      </w:r>
      <w:r w:rsidR="007D7AF9">
        <w:rPr>
          <w:rFonts w:ascii="Times New Roman" w:hAnsi="Times New Roman"/>
          <w:sz w:val="22"/>
          <w:szCs w:val="22"/>
          <w:lang w:val="en-US"/>
        </w:rPr>
        <w:t>, 20</w:t>
      </w:r>
      <w:r w:rsidR="005253D8">
        <w:rPr>
          <w:rFonts w:ascii="Times New Roman" w:hAnsi="Times New Roman"/>
          <w:sz w:val="22"/>
          <w:szCs w:val="22"/>
          <w:lang w:val="en-US"/>
        </w:rPr>
        <w:t>20</w:t>
      </w:r>
    </w:p>
    <w:p w14:paraId="6BB061CD" w14:textId="77777777" w:rsidR="004011E2" w:rsidRPr="007D7AF9" w:rsidRDefault="004011E2" w:rsidP="007D7AF9">
      <w:pPr>
        <w:tabs>
          <w:tab w:val="left" w:pos="4860"/>
        </w:tabs>
        <w:spacing w:line="320" w:lineRule="atLeast"/>
        <w:rPr>
          <w:rFonts w:ascii="Times New Roman" w:hAnsi="Times New Roman"/>
          <w:sz w:val="22"/>
          <w:szCs w:val="22"/>
          <w:lang w:val="en-US"/>
        </w:rPr>
      </w:pPr>
    </w:p>
    <w:p w14:paraId="20FEBC6D" w14:textId="7E4D8D31" w:rsidR="005253D8" w:rsidRPr="00DD1AFC" w:rsidRDefault="005253D8" w:rsidP="00DD1AFC">
      <w:pPr>
        <w:tabs>
          <w:tab w:val="left" w:pos="4860"/>
        </w:tabs>
        <w:spacing w:after="120" w:line="320" w:lineRule="atLeast"/>
        <w:rPr>
          <w:rFonts w:ascii="Times New Roman" w:hAnsi="Times New Roman"/>
          <w:sz w:val="22"/>
          <w:szCs w:val="22"/>
          <w:lang w:val="en-US"/>
        </w:rPr>
      </w:pPr>
      <w:r w:rsidRPr="00DD1AFC">
        <w:rPr>
          <w:rFonts w:ascii="Times New Roman" w:hAnsi="Times New Roman"/>
          <w:sz w:val="22"/>
          <w:szCs w:val="22"/>
          <w:u w:val="single"/>
          <w:lang w:val="en-US"/>
        </w:rPr>
        <w:t>Concern</w:t>
      </w:r>
      <w:r w:rsidRPr="00DD1AFC">
        <w:rPr>
          <w:rFonts w:ascii="Times New Roman" w:hAnsi="Times New Roman"/>
          <w:sz w:val="22"/>
          <w:szCs w:val="22"/>
          <w:lang w:val="en-US"/>
        </w:rPr>
        <w:t xml:space="preserve">: Submission of a contribution to </w:t>
      </w:r>
      <w:r w:rsidRPr="00DD1AFC">
        <w:rPr>
          <w:rFonts w:ascii="Times New Roman" w:hAnsi="Times New Roman"/>
          <w:i/>
          <w:sz w:val="22"/>
          <w:szCs w:val="22"/>
          <w:lang w:val="en-US"/>
        </w:rPr>
        <w:t>Chemical Communications</w:t>
      </w:r>
      <w:r w:rsidRPr="00DD1AFC">
        <w:rPr>
          <w:rFonts w:ascii="Times New Roman" w:hAnsi="Times New Roman"/>
          <w:sz w:val="22"/>
          <w:szCs w:val="22"/>
          <w:lang w:val="en-US"/>
        </w:rPr>
        <w:t>.</w:t>
      </w:r>
    </w:p>
    <w:p w14:paraId="31083FD0" w14:textId="77777777" w:rsidR="005253D8" w:rsidRPr="00DD1AFC" w:rsidRDefault="005253D8" w:rsidP="00DD1AFC">
      <w:pPr>
        <w:tabs>
          <w:tab w:val="left" w:pos="4860"/>
        </w:tabs>
        <w:spacing w:line="320" w:lineRule="atLeast"/>
        <w:rPr>
          <w:rFonts w:ascii="Times New Roman" w:hAnsi="Times New Roman"/>
          <w:sz w:val="22"/>
          <w:szCs w:val="22"/>
          <w:lang w:val="en-US"/>
        </w:rPr>
      </w:pPr>
      <w:r w:rsidRPr="00DD1AFC">
        <w:rPr>
          <w:rFonts w:ascii="Times New Roman" w:hAnsi="Times New Roman"/>
          <w:sz w:val="22"/>
          <w:szCs w:val="22"/>
          <w:lang w:val="en-US"/>
        </w:rPr>
        <w:t>Dear Editor,</w:t>
      </w:r>
    </w:p>
    <w:p w14:paraId="2484E09C" w14:textId="5864758E" w:rsidR="005253D8" w:rsidRPr="00DD1AFC" w:rsidRDefault="005253D8" w:rsidP="00DD1AFC">
      <w:pPr>
        <w:tabs>
          <w:tab w:val="left" w:pos="5670"/>
        </w:tabs>
        <w:suppressAutoHyphens/>
        <w:spacing w:line="320" w:lineRule="atLeast"/>
        <w:ind w:firstLine="425"/>
        <w:jc w:val="both"/>
        <w:rPr>
          <w:rStyle w:val="TMSRMN"/>
          <w:sz w:val="22"/>
          <w:szCs w:val="22"/>
          <w:lang w:val="en-US"/>
        </w:rPr>
      </w:pPr>
      <w:r w:rsidRPr="00DD1AFC">
        <w:rPr>
          <w:rStyle w:val="TMSRMN"/>
          <w:sz w:val="22"/>
          <w:szCs w:val="22"/>
          <w:lang w:val="en-US"/>
        </w:rPr>
        <w:t>With this letter, we enclose an electronic copy of our manuscript entitled ‘</w:t>
      </w:r>
      <w:r w:rsidRPr="00DD1AFC">
        <w:rPr>
          <w:rStyle w:val="TMSRMN"/>
          <w:b/>
          <w:sz w:val="22"/>
          <w:szCs w:val="22"/>
          <w:lang w:val="en-US"/>
        </w:rPr>
        <w:t xml:space="preserve">Upgrading Luminescent </w:t>
      </w:r>
      <w:proofErr w:type="spellStart"/>
      <w:r w:rsidRPr="00DD1AFC">
        <w:rPr>
          <w:rStyle w:val="TMSRMN"/>
          <w:b/>
          <w:sz w:val="22"/>
          <w:szCs w:val="22"/>
          <w:lang w:val="en-US"/>
        </w:rPr>
        <w:t>Polypyridyl</w:t>
      </w:r>
      <w:proofErr w:type="spellEnd"/>
      <w:r w:rsidRPr="00DD1AFC">
        <w:rPr>
          <w:rStyle w:val="TMSRMN"/>
          <w:b/>
          <w:sz w:val="22"/>
          <w:szCs w:val="22"/>
          <w:lang w:val="en-US"/>
        </w:rPr>
        <w:t xml:space="preserve"> </w:t>
      </w:r>
      <w:proofErr w:type="spellStart"/>
      <w:r w:rsidRPr="00DD1AFC">
        <w:rPr>
          <w:rStyle w:val="TMSRMN"/>
          <w:b/>
          <w:sz w:val="22"/>
          <w:szCs w:val="22"/>
          <w:lang w:val="en-US"/>
        </w:rPr>
        <w:t>Heteroleptic</w:t>
      </w:r>
      <w:proofErr w:type="spellEnd"/>
      <w:r w:rsidRPr="00DD1AFC">
        <w:rPr>
          <w:rStyle w:val="TMSRMN"/>
          <w:b/>
          <w:sz w:val="22"/>
          <w:szCs w:val="22"/>
          <w:lang w:val="en-US"/>
        </w:rPr>
        <w:t xml:space="preserve"> </w:t>
      </w:r>
      <w:proofErr w:type="gramStart"/>
      <w:r w:rsidRPr="00DD1AFC">
        <w:rPr>
          <w:rStyle w:val="TMSRMN"/>
          <w:b/>
          <w:sz w:val="22"/>
          <w:szCs w:val="22"/>
          <w:lang w:val="en-US"/>
        </w:rPr>
        <w:t>Cr(</w:t>
      </w:r>
      <w:proofErr w:type="gramEnd"/>
      <w:r w:rsidRPr="00DD1AFC">
        <w:rPr>
          <w:rStyle w:val="TMSRMN"/>
          <w:b/>
          <w:sz w:val="22"/>
          <w:szCs w:val="22"/>
          <w:lang w:val="en-US"/>
        </w:rPr>
        <w:t>III) Complexes with High Quantum Yields and Long Excited State Lifetimes</w:t>
      </w:r>
      <w:r w:rsidRPr="00DD1AFC">
        <w:rPr>
          <w:rStyle w:val="TMSRMN"/>
          <w:sz w:val="22"/>
          <w:szCs w:val="22"/>
          <w:lang w:val="en-US"/>
        </w:rPr>
        <w:t xml:space="preserve">’ which we would like to be considered for publication in Chemical Communications. </w:t>
      </w:r>
    </w:p>
    <w:p w14:paraId="18A9968B" w14:textId="74BE1D1E" w:rsidR="005253D8" w:rsidRPr="00DD1AFC" w:rsidRDefault="005253D8" w:rsidP="00DD1AFC">
      <w:pPr>
        <w:tabs>
          <w:tab w:val="left" w:pos="5670"/>
        </w:tabs>
        <w:suppressAutoHyphens/>
        <w:spacing w:line="320" w:lineRule="atLeast"/>
        <w:ind w:firstLine="425"/>
        <w:jc w:val="both"/>
        <w:rPr>
          <w:rStyle w:val="TMSRMN"/>
          <w:sz w:val="22"/>
          <w:szCs w:val="22"/>
          <w:lang w:val="en-US"/>
        </w:rPr>
      </w:pPr>
      <w:r w:rsidRPr="00DD1AFC">
        <w:rPr>
          <w:rStyle w:val="TMSRMN"/>
          <w:sz w:val="22"/>
          <w:szCs w:val="22"/>
          <w:lang w:val="en-US"/>
        </w:rPr>
        <w:t xml:space="preserve">Contrary to </w:t>
      </w:r>
      <w:r w:rsidR="00DD1AFC">
        <w:rPr>
          <w:rStyle w:val="TMSRMN"/>
          <w:sz w:val="22"/>
          <w:szCs w:val="22"/>
          <w:lang w:val="en-US"/>
        </w:rPr>
        <w:t>precious and costly</w:t>
      </w:r>
      <w:r w:rsidRPr="00DD1AFC">
        <w:rPr>
          <w:rStyle w:val="TMSRMN"/>
          <w:sz w:val="22"/>
          <w:szCs w:val="22"/>
          <w:lang w:val="en-US"/>
        </w:rPr>
        <w:t xml:space="preserve"> ruthenium(II) </w:t>
      </w:r>
      <w:r w:rsidR="00DD1AFC">
        <w:rPr>
          <w:rStyle w:val="TMSRMN"/>
          <w:sz w:val="22"/>
          <w:szCs w:val="22"/>
          <w:lang w:val="en-US"/>
        </w:rPr>
        <w:t>complexes</w:t>
      </w:r>
      <w:r w:rsidRPr="00DD1AFC">
        <w:rPr>
          <w:rStyle w:val="TMSRMN"/>
          <w:sz w:val="22"/>
          <w:szCs w:val="22"/>
          <w:lang w:val="en-US"/>
        </w:rPr>
        <w:t>, which are well represented</w:t>
      </w:r>
      <w:r w:rsidR="00DD1AFC">
        <w:rPr>
          <w:rStyle w:val="TMSRMN"/>
          <w:sz w:val="22"/>
          <w:szCs w:val="22"/>
          <w:lang w:val="en-US"/>
        </w:rPr>
        <w:t xml:space="preserve"> as building blocks</w:t>
      </w:r>
      <w:r w:rsidRPr="00DD1AFC">
        <w:rPr>
          <w:rStyle w:val="TMSRMN"/>
          <w:sz w:val="22"/>
          <w:szCs w:val="22"/>
          <w:lang w:val="en-US"/>
        </w:rPr>
        <w:t xml:space="preserve"> in </w:t>
      </w:r>
      <w:proofErr w:type="spellStart"/>
      <w:r w:rsidRPr="00DD1AFC">
        <w:rPr>
          <w:rStyle w:val="TMSRMN"/>
          <w:sz w:val="22"/>
          <w:szCs w:val="22"/>
          <w:lang w:val="en-US"/>
        </w:rPr>
        <w:t>photophysically</w:t>
      </w:r>
      <w:proofErr w:type="spellEnd"/>
      <w:r w:rsidRPr="00DD1AFC">
        <w:rPr>
          <w:rStyle w:val="TMSRMN"/>
          <w:sz w:val="22"/>
          <w:szCs w:val="22"/>
          <w:lang w:val="en-US"/>
        </w:rPr>
        <w:t xml:space="preserve"> active </w:t>
      </w:r>
      <w:proofErr w:type="spellStart"/>
      <w:r w:rsidRPr="00DD1AFC">
        <w:rPr>
          <w:rStyle w:val="TMSRMN"/>
          <w:sz w:val="22"/>
          <w:szCs w:val="22"/>
          <w:lang w:val="en-US"/>
        </w:rPr>
        <w:t>metallosupramolecular</w:t>
      </w:r>
      <w:proofErr w:type="spellEnd"/>
      <w:r w:rsidRPr="00DD1AFC">
        <w:rPr>
          <w:rStyle w:val="TMSRMN"/>
          <w:sz w:val="22"/>
          <w:szCs w:val="22"/>
          <w:lang w:val="en-US"/>
        </w:rPr>
        <w:t xml:space="preserve"> assemblies (</w:t>
      </w:r>
      <w:r w:rsidR="00014E24" w:rsidRPr="00DD1AFC">
        <w:rPr>
          <w:rStyle w:val="TMSRMN"/>
          <w:sz w:val="22"/>
          <w:szCs w:val="22"/>
          <w:lang w:val="en-US"/>
        </w:rPr>
        <w:t xml:space="preserve">see for instance Mede et al., 'Chemistry-on-the-complex': Functional Ru(II) </w:t>
      </w:r>
      <w:proofErr w:type="spellStart"/>
      <w:r w:rsidR="00014E24" w:rsidRPr="00DD1AFC">
        <w:rPr>
          <w:rStyle w:val="TMSRMN"/>
          <w:sz w:val="22"/>
          <w:szCs w:val="22"/>
          <w:lang w:val="en-US"/>
        </w:rPr>
        <w:t>polypyridyl</w:t>
      </w:r>
      <w:proofErr w:type="spellEnd"/>
      <w:r w:rsidR="00014E24" w:rsidRPr="00DD1AFC">
        <w:rPr>
          <w:rStyle w:val="TMSRMN"/>
          <w:sz w:val="22"/>
          <w:szCs w:val="22"/>
          <w:lang w:val="en-US"/>
        </w:rPr>
        <w:t xml:space="preserve">-type sensitizers as divergent building blocks. </w:t>
      </w:r>
      <w:r w:rsidR="00014E24" w:rsidRPr="00DD1AFC">
        <w:rPr>
          <w:rStyle w:val="TMSRMN"/>
          <w:i/>
          <w:sz w:val="22"/>
          <w:szCs w:val="22"/>
          <w:lang w:val="en-US"/>
        </w:rPr>
        <w:t>Chem. Soc. Rev.</w:t>
      </w:r>
      <w:r w:rsidR="00014E24" w:rsidRPr="00DD1AFC">
        <w:rPr>
          <w:rStyle w:val="TMSRMN"/>
          <w:sz w:val="22"/>
          <w:szCs w:val="22"/>
          <w:lang w:val="en-US"/>
        </w:rPr>
        <w:t xml:space="preserve"> 2018, </w:t>
      </w:r>
      <w:r w:rsidR="00014E24" w:rsidRPr="00DD1AFC">
        <w:rPr>
          <w:rStyle w:val="TMSRMN"/>
          <w:b/>
          <w:sz w:val="22"/>
          <w:szCs w:val="22"/>
          <w:lang w:val="en-US"/>
        </w:rPr>
        <w:t>47</w:t>
      </w:r>
      <w:r w:rsidR="00014E24" w:rsidRPr="00DD1AFC">
        <w:rPr>
          <w:rStyle w:val="TMSRMN"/>
          <w:sz w:val="22"/>
          <w:szCs w:val="22"/>
          <w:lang w:val="en-US"/>
        </w:rPr>
        <w:t xml:space="preserve">, 7577-7627), </w:t>
      </w:r>
      <w:r w:rsidR="00DD1AFC">
        <w:rPr>
          <w:rStyle w:val="TMSRMN"/>
          <w:sz w:val="22"/>
          <w:szCs w:val="22"/>
          <w:lang w:val="en-US"/>
        </w:rPr>
        <w:t xml:space="preserve">the </w:t>
      </w:r>
      <w:r w:rsidRPr="00DD1AFC">
        <w:rPr>
          <w:rStyle w:val="TMSRMN"/>
          <w:sz w:val="22"/>
          <w:szCs w:val="22"/>
          <w:lang w:val="en-US"/>
        </w:rPr>
        <w:t>economically appealing</w:t>
      </w:r>
      <w:r w:rsidR="00014E24" w:rsidRPr="00DD1AFC">
        <w:rPr>
          <w:rStyle w:val="TMSRMN"/>
          <w:sz w:val="22"/>
          <w:szCs w:val="22"/>
          <w:lang w:val="en-US"/>
        </w:rPr>
        <w:t xml:space="preserve"> analogous</w:t>
      </w:r>
      <w:r w:rsidRPr="00DD1AFC">
        <w:rPr>
          <w:rStyle w:val="TMSRMN"/>
          <w:sz w:val="22"/>
          <w:szCs w:val="22"/>
          <w:lang w:val="en-US"/>
        </w:rPr>
        <w:t xml:space="preserve"> Cr(III) complexes are essentially absent in supramolecular multicomponent photonic devices because of the lack of synthetic strategies for the preparation of versatile </w:t>
      </w:r>
      <w:proofErr w:type="spellStart"/>
      <w:r w:rsidRPr="00DD1AFC">
        <w:rPr>
          <w:rStyle w:val="TMSRMN"/>
          <w:sz w:val="22"/>
          <w:szCs w:val="22"/>
          <w:lang w:val="en-US"/>
        </w:rPr>
        <w:t>heteroleptic</w:t>
      </w:r>
      <w:proofErr w:type="spellEnd"/>
      <w:r w:rsidRPr="00DD1AFC">
        <w:rPr>
          <w:rStyle w:val="TMSRMN"/>
          <w:sz w:val="22"/>
          <w:szCs w:val="22"/>
          <w:lang w:val="en-US"/>
        </w:rPr>
        <w:t xml:space="preserve"> and kinetically inert Cr(III)-based </w:t>
      </w:r>
      <w:r w:rsidR="00DD1AFC">
        <w:rPr>
          <w:rStyle w:val="TMSRMN"/>
          <w:sz w:val="22"/>
          <w:szCs w:val="22"/>
          <w:lang w:val="en-US"/>
        </w:rPr>
        <w:t>chromophores</w:t>
      </w:r>
      <w:r w:rsidRPr="00DD1AFC">
        <w:rPr>
          <w:rStyle w:val="TMSRMN"/>
          <w:sz w:val="22"/>
          <w:szCs w:val="22"/>
          <w:lang w:val="en-US"/>
        </w:rPr>
        <w:t xml:space="preserve">. The recent burst of activity accompanying the design of novel </w:t>
      </w:r>
      <w:proofErr w:type="spellStart"/>
      <w:r w:rsidRPr="00DD1AFC">
        <w:rPr>
          <w:rStyle w:val="TMSRMN"/>
          <w:sz w:val="22"/>
          <w:szCs w:val="22"/>
          <w:lang w:val="en-US"/>
        </w:rPr>
        <w:t>homoleptic</w:t>
      </w:r>
      <w:proofErr w:type="spellEnd"/>
      <w:r w:rsidRPr="00DD1AFC">
        <w:rPr>
          <w:rStyle w:val="TMSRMN"/>
          <w:sz w:val="22"/>
          <w:szCs w:val="22"/>
          <w:lang w:val="en-US"/>
        </w:rPr>
        <w:t xml:space="preserve"> </w:t>
      </w:r>
      <w:proofErr w:type="gramStart"/>
      <w:r w:rsidRPr="00DD1AFC">
        <w:rPr>
          <w:rStyle w:val="TMSRMN"/>
          <w:sz w:val="22"/>
          <w:szCs w:val="22"/>
          <w:lang w:val="en-US"/>
        </w:rPr>
        <w:t>Cr(</w:t>
      </w:r>
      <w:proofErr w:type="gramEnd"/>
      <w:r w:rsidRPr="00DD1AFC">
        <w:rPr>
          <w:rStyle w:val="TMSRMN"/>
          <w:sz w:val="22"/>
          <w:szCs w:val="22"/>
          <w:lang w:val="en-US"/>
        </w:rPr>
        <w:t xml:space="preserve">III) sensitizers programmed for providing long near-infrared excited state lifetimes (see </w:t>
      </w:r>
      <w:r w:rsidR="00014E24" w:rsidRPr="00DD1AFC">
        <w:rPr>
          <w:rStyle w:val="TMSRMN"/>
          <w:sz w:val="22"/>
          <w:szCs w:val="22"/>
          <w:lang w:val="en-US"/>
        </w:rPr>
        <w:t xml:space="preserve">Wenger, Photoactive Complexes with Earth-Abundant Metals. </w:t>
      </w:r>
      <w:r w:rsidR="00014E24" w:rsidRPr="00DD1AFC">
        <w:rPr>
          <w:rStyle w:val="TMSRMN"/>
          <w:i/>
          <w:sz w:val="22"/>
          <w:szCs w:val="22"/>
          <w:lang w:val="en-US"/>
        </w:rPr>
        <w:t>J. Am. Chem. Soc.</w:t>
      </w:r>
      <w:r w:rsidR="00014E24" w:rsidRPr="00DD1AFC">
        <w:rPr>
          <w:rStyle w:val="TMSRMN"/>
          <w:sz w:val="22"/>
          <w:szCs w:val="22"/>
          <w:lang w:val="en-US"/>
        </w:rPr>
        <w:t xml:space="preserve"> 2018, </w:t>
      </w:r>
      <w:r w:rsidR="00014E24" w:rsidRPr="00DD1AFC">
        <w:rPr>
          <w:rStyle w:val="TMSRMN"/>
          <w:b/>
          <w:sz w:val="22"/>
          <w:szCs w:val="22"/>
          <w:lang w:val="en-US"/>
        </w:rPr>
        <w:t>140</w:t>
      </w:r>
      <w:r w:rsidR="00DD1AFC">
        <w:rPr>
          <w:rStyle w:val="TMSRMN"/>
          <w:sz w:val="22"/>
          <w:szCs w:val="22"/>
          <w:lang w:val="en-US"/>
        </w:rPr>
        <w:t>, 13522-13533</w:t>
      </w:r>
      <w:r w:rsidR="00014E24" w:rsidRPr="00DD1AFC">
        <w:rPr>
          <w:rStyle w:val="TMSRMN"/>
          <w:sz w:val="22"/>
          <w:szCs w:val="22"/>
          <w:lang w:val="en-US"/>
        </w:rPr>
        <w:t xml:space="preserve"> or Forster and </w:t>
      </w:r>
      <w:proofErr w:type="spellStart"/>
      <w:r w:rsidR="00014E24" w:rsidRPr="00DD1AFC">
        <w:rPr>
          <w:rStyle w:val="TMSRMN"/>
          <w:sz w:val="22"/>
          <w:szCs w:val="22"/>
          <w:lang w:val="en-US"/>
        </w:rPr>
        <w:t>Heinze</w:t>
      </w:r>
      <w:proofErr w:type="spellEnd"/>
      <w:r w:rsidR="00014E24" w:rsidRPr="00DD1AFC">
        <w:rPr>
          <w:rStyle w:val="TMSRMN"/>
          <w:sz w:val="22"/>
          <w:szCs w:val="22"/>
          <w:lang w:val="en-US"/>
        </w:rPr>
        <w:t xml:space="preserve">, </w:t>
      </w:r>
      <w:proofErr w:type="spellStart"/>
      <w:r w:rsidR="00014E24" w:rsidRPr="00DD1AFC">
        <w:rPr>
          <w:rStyle w:val="TMSRMN"/>
          <w:sz w:val="22"/>
          <w:szCs w:val="22"/>
          <w:lang w:val="en-US"/>
        </w:rPr>
        <w:t>Photophysics</w:t>
      </w:r>
      <w:proofErr w:type="spellEnd"/>
      <w:r w:rsidR="00014E24" w:rsidRPr="00DD1AFC">
        <w:rPr>
          <w:rStyle w:val="TMSRMN"/>
          <w:sz w:val="22"/>
          <w:szCs w:val="22"/>
          <w:lang w:val="en-US"/>
        </w:rPr>
        <w:t xml:space="preserve"> and photochemistry with Earth-abundant metals - fundamentals and concepts. </w:t>
      </w:r>
      <w:r w:rsidR="00014E24" w:rsidRPr="00DD1AFC">
        <w:rPr>
          <w:rStyle w:val="TMSRMN"/>
          <w:i/>
          <w:sz w:val="22"/>
          <w:szCs w:val="22"/>
          <w:lang w:val="en-US"/>
        </w:rPr>
        <w:t>Chem. Soc. Rev.</w:t>
      </w:r>
      <w:r w:rsidR="00014E24" w:rsidRPr="00DD1AFC">
        <w:rPr>
          <w:rStyle w:val="TMSRMN"/>
          <w:sz w:val="22"/>
          <w:szCs w:val="22"/>
          <w:lang w:val="en-US"/>
        </w:rPr>
        <w:t xml:space="preserve"> 2020, </w:t>
      </w:r>
      <w:r w:rsidR="00014E24" w:rsidRPr="00DD1AFC">
        <w:rPr>
          <w:rStyle w:val="TMSRMN"/>
          <w:b/>
          <w:sz w:val="22"/>
          <w:szCs w:val="22"/>
          <w:lang w:val="en-US"/>
        </w:rPr>
        <w:t>49</w:t>
      </w:r>
      <w:r w:rsidR="00DD1AFC">
        <w:rPr>
          <w:rStyle w:val="TMSRMN"/>
          <w:sz w:val="22"/>
          <w:szCs w:val="22"/>
          <w:lang w:val="en-US"/>
        </w:rPr>
        <w:t>, 1057-1070</w:t>
      </w:r>
      <w:r w:rsidR="00014E24" w:rsidRPr="00DD1AFC">
        <w:rPr>
          <w:rStyle w:val="TMSRMN"/>
          <w:sz w:val="22"/>
          <w:szCs w:val="22"/>
          <w:lang w:val="en-US"/>
        </w:rPr>
        <w:t>)</w:t>
      </w:r>
      <w:r w:rsidRPr="00DD1AFC">
        <w:rPr>
          <w:rStyle w:val="TMSRMN"/>
          <w:sz w:val="22"/>
          <w:szCs w:val="22"/>
          <w:lang w:val="en-US"/>
        </w:rPr>
        <w:t xml:space="preserve"> further pointed out the striking lack of easy access to </w:t>
      </w:r>
      <w:proofErr w:type="spellStart"/>
      <w:r w:rsidRPr="00DD1AFC">
        <w:rPr>
          <w:rStyle w:val="TMSRMN"/>
          <w:sz w:val="22"/>
          <w:szCs w:val="22"/>
          <w:lang w:val="en-US"/>
        </w:rPr>
        <w:t>heteroleptic</w:t>
      </w:r>
      <w:proofErr w:type="spellEnd"/>
      <w:r w:rsidRPr="00DD1AFC">
        <w:rPr>
          <w:rStyle w:val="TMSRMN"/>
          <w:sz w:val="22"/>
          <w:szCs w:val="22"/>
          <w:lang w:val="en-US"/>
        </w:rPr>
        <w:t xml:space="preserve"> analogues with comparable optical properties, but much larger </w:t>
      </w:r>
      <w:r w:rsidR="00014E24" w:rsidRPr="00DD1AFC">
        <w:rPr>
          <w:rStyle w:val="TMSRMN"/>
          <w:sz w:val="22"/>
          <w:szCs w:val="22"/>
          <w:lang w:val="en-US"/>
        </w:rPr>
        <w:t>opportunities</w:t>
      </w:r>
      <w:r w:rsidRPr="00DD1AFC">
        <w:rPr>
          <w:rStyle w:val="TMSRMN"/>
          <w:sz w:val="22"/>
          <w:szCs w:val="22"/>
          <w:lang w:val="en-US"/>
        </w:rPr>
        <w:t xml:space="preserve"> for applications. </w:t>
      </w:r>
      <w:r w:rsidR="00014E24" w:rsidRPr="00DD1AFC">
        <w:rPr>
          <w:rStyle w:val="TMSRMN"/>
          <w:sz w:val="22"/>
          <w:szCs w:val="22"/>
          <w:lang w:val="en-US"/>
        </w:rPr>
        <w:t xml:space="preserve">After having adapted the </w:t>
      </w:r>
      <w:r w:rsidRPr="00DD1AFC">
        <w:rPr>
          <w:rStyle w:val="TMSRMN"/>
          <w:i/>
          <w:sz w:val="22"/>
          <w:szCs w:val="22"/>
          <w:lang w:val="en-US"/>
        </w:rPr>
        <w:t>Kane-Maguire</w:t>
      </w:r>
      <w:r w:rsidRPr="00DD1AFC">
        <w:rPr>
          <w:rStyle w:val="TMSRMN"/>
          <w:sz w:val="22"/>
          <w:szCs w:val="22"/>
          <w:lang w:val="en-US"/>
        </w:rPr>
        <w:t xml:space="preserve"> synthetic strategy</w:t>
      </w:r>
      <w:r w:rsidR="00014E24" w:rsidRPr="00DD1AFC">
        <w:rPr>
          <w:rStyle w:val="TMSRMN"/>
          <w:sz w:val="22"/>
          <w:szCs w:val="22"/>
          <w:lang w:val="en-US"/>
        </w:rPr>
        <w:t xml:space="preserve"> for </w:t>
      </w:r>
      <w:proofErr w:type="spellStart"/>
      <w:r w:rsidRPr="00DD1AFC">
        <w:rPr>
          <w:rStyle w:val="TMSRMN"/>
          <w:sz w:val="22"/>
          <w:szCs w:val="22"/>
          <w:lang w:val="en-US"/>
        </w:rPr>
        <w:t>labilizing</w:t>
      </w:r>
      <w:proofErr w:type="spellEnd"/>
      <w:r w:rsidRPr="00DD1AFC">
        <w:rPr>
          <w:rStyle w:val="TMSRMN"/>
          <w:sz w:val="22"/>
          <w:szCs w:val="22"/>
          <w:lang w:val="en-US"/>
        </w:rPr>
        <w:t xml:space="preserve"> Cr-X bond bonds under </w:t>
      </w:r>
      <w:r w:rsidR="00014E24" w:rsidRPr="00DD1AFC">
        <w:rPr>
          <w:rStyle w:val="TMSRMN"/>
          <w:sz w:val="22"/>
          <w:szCs w:val="22"/>
          <w:lang w:val="en-US"/>
        </w:rPr>
        <w:t>soft</w:t>
      </w:r>
      <w:r w:rsidRPr="00DD1AFC">
        <w:rPr>
          <w:rStyle w:val="TMSRMN"/>
          <w:sz w:val="22"/>
          <w:szCs w:val="22"/>
          <w:lang w:val="en-US"/>
        </w:rPr>
        <w:t xml:space="preserve"> conditions</w:t>
      </w:r>
      <w:r w:rsidR="00014E24" w:rsidRPr="00DD1AFC">
        <w:rPr>
          <w:rStyle w:val="TMSRMN"/>
          <w:sz w:val="22"/>
          <w:szCs w:val="22"/>
          <w:lang w:val="en-US"/>
        </w:rPr>
        <w:t xml:space="preserve"> (Jimenez et al, Versatile </w:t>
      </w:r>
      <w:proofErr w:type="spellStart"/>
      <w:r w:rsidR="00014E24" w:rsidRPr="00DD1AFC">
        <w:rPr>
          <w:rStyle w:val="TMSRMN"/>
          <w:sz w:val="22"/>
          <w:szCs w:val="22"/>
          <w:lang w:val="en-US"/>
        </w:rPr>
        <w:t>Heteroleptic</w:t>
      </w:r>
      <w:proofErr w:type="spellEnd"/>
      <w:r w:rsidR="00014E24" w:rsidRPr="00DD1AFC">
        <w:rPr>
          <w:rStyle w:val="TMSRMN"/>
          <w:sz w:val="22"/>
          <w:szCs w:val="22"/>
          <w:lang w:val="en-US"/>
        </w:rPr>
        <w:t xml:space="preserve"> </w:t>
      </w:r>
      <w:proofErr w:type="spellStart"/>
      <w:r w:rsidR="00014E24" w:rsidRPr="00DD1AFC">
        <w:rPr>
          <w:rStyle w:val="TMSRMN"/>
          <w:sz w:val="22"/>
          <w:szCs w:val="22"/>
          <w:lang w:val="en-US"/>
        </w:rPr>
        <w:t>Bis-Terdentate</w:t>
      </w:r>
      <w:proofErr w:type="spellEnd"/>
      <w:r w:rsidR="00014E24" w:rsidRPr="00DD1AFC">
        <w:rPr>
          <w:rStyle w:val="TMSRMN"/>
          <w:sz w:val="22"/>
          <w:szCs w:val="22"/>
          <w:lang w:val="en-US"/>
        </w:rPr>
        <w:t xml:space="preserve"> </w:t>
      </w:r>
      <w:proofErr w:type="gramStart"/>
      <w:r w:rsidR="00014E24" w:rsidRPr="00DD1AFC">
        <w:rPr>
          <w:rStyle w:val="TMSRMN"/>
          <w:sz w:val="22"/>
          <w:szCs w:val="22"/>
          <w:lang w:val="en-US"/>
        </w:rPr>
        <w:t>Cr(</w:t>
      </w:r>
      <w:proofErr w:type="gramEnd"/>
      <w:r w:rsidR="00014E24" w:rsidRPr="00DD1AFC">
        <w:rPr>
          <w:rStyle w:val="TMSRMN"/>
          <w:sz w:val="22"/>
          <w:szCs w:val="22"/>
          <w:lang w:val="en-US"/>
        </w:rPr>
        <w:t xml:space="preserve">III) Chromophores Displaying Room Temperature Millisecond Excited State Lifetimes. </w:t>
      </w:r>
      <w:r w:rsidR="00014E24" w:rsidRPr="00DD1AFC">
        <w:rPr>
          <w:rStyle w:val="TMSRMN"/>
          <w:i/>
          <w:sz w:val="22"/>
          <w:szCs w:val="22"/>
          <w:lang w:val="en-US"/>
        </w:rPr>
        <w:t xml:space="preserve">Chem. </w:t>
      </w:r>
      <w:proofErr w:type="spellStart"/>
      <w:r w:rsidR="00014E24" w:rsidRPr="00DD1AFC">
        <w:rPr>
          <w:rStyle w:val="TMSRMN"/>
          <w:i/>
          <w:sz w:val="22"/>
          <w:szCs w:val="22"/>
          <w:lang w:val="en-US"/>
        </w:rPr>
        <w:t>Commun</w:t>
      </w:r>
      <w:proofErr w:type="spellEnd"/>
      <w:r w:rsidR="00014E24" w:rsidRPr="00DD1AFC">
        <w:rPr>
          <w:rStyle w:val="TMSRMN"/>
          <w:i/>
          <w:sz w:val="22"/>
          <w:szCs w:val="22"/>
          <w:lang w:val="en-US"/>
        </w:rPr>
        <w:t>.</w:t>
      </w:r>
      <w:r w:rsidR="00014E24" w:rsidRPr="00DD1AFC">
        <w:rPr>
          <w:rStyle w:val="TMSRMN"/>
          <w:sz w:val="22"/>
          <w:szCs w:val="22"/>
          <w:lang w:val="en-US"/>
        </w:rPr>
        <w:t xml:space="preserve"> 2018, </w:t>
      </w:r>
      <w:r w:rsidR="00014E24" w:rsidRPr="00DD1AFC">
        <w:rPr>
          <w:rStyle w:val="TMSRMN"/>
          <w:b/>
          <w:sz w:val="22"/>
          <w:szCs w:val="22"/>
          <w:lang w:val="en-US"/>
        </w:rPr>
        <w:t>54</w:t>
      </w:r>
      <w:r w:rsidR="00014E24" w:rsidRPr="00DD1AFC">
        <w:rPr>
          <w:rStyle w:val="TMSRMN"/>
          <w:sz w:val="22"/>
          <w:szCs w:val="22"/>
          <w:lang w:val="en-US"/>
        </w:rPr>
        <w:t>, 13228-13231</w:t>
      </w:r>
      <w:r w:rsidR="00B46692" w:rsidRPr="00DD1AFC">
        <w:rPr>
          <w:rStyle w:val="TMSRMN"/>
          <w:sz w:val="22"/>
          <w:szCs w:val="22"/>
          <w:lang w:val="en-US"/>
        </w:rPr>
        <w:t>) we report</w:t>
      </w:r>
      <w:r w:rsidR="00DD1AFC">
        <w:rPr>
          <w:rStyle w:val="TMSRMN"/>
          <w:sz w:val="22"/>
          <w:szCs w:val="22"/>
          <w:lang w:val="en-US"/>
        </w:rPr>
        <w:t xml:space="preserve"> on</w:t>
      </w:r>
      <w:r w:rsidR="00B46692" w:rsidRPr="00DD1AFC">
        <w:rPr>
          <w:rStyle w:val="TMSRMN"/>
          <w:sz w:val="22"/>
          <w:szCs w:val="22"/>
          <w:lang w:val="en-US"/>
        </w:rPr>
        <w:t xml:space="preserve"> the unprecedented synthesis and characterization</w:t>
      </w:r>
      <w:r w:rsidRPr="00DD1AFC">
        <w:rPr>
          <w:rStyle w:val="TMSRMN"/>
          <w:sz w:val="22"/>
          <w:szCs w:val="22"/>
          <w:lang w:val="en-US"/>
        </w:rPr>
        <w:t xml:space="preserve"> of </w:t>
      </w:r>
      <w:proofErr w:type="spellStart"/>
      <w:r w:rsidRPr="00DD1AFC">
        <w:rPr>
          <w:rStyle w:val="TMSRMN"/>
          <w:sz w:val="22"/>
          <w:szCs w:val="22"/>
          <w:lang w:val="en-US"/>
        </w:rPr>
        <w:t>heteroleptic</w:t>
      </w:r>
      <w:proofErr w:type="spellEnd"/>
      <w:r w:rsidRPr="00DD1AFC">
        <w:rPr>
          <w:rStyle w:val="TMSRMN"/>
          <w:sz w:val="22"/>
          <w:szCs w:val="22"/>
          <w:lang w:val="en-US"/>
        </w:rPr>
        <w:t xml:space="preserve"> [</w:t>
      </w:r>
      <w:proofErr w:type="gramStart"/>
      <w:r w:rsidRPr="00DD1AFC">
        <w:rPr>
          <w:rStyle w:val="TMSRMN"/>
          <w:sz w:val="22"/>
          <w:szCs w:val="22"/>
          <w:lang w:val="en-US"/>
        </w:rPr>
        <w:t>Cr(</w:t>
      </w:r>
      <w:proofErr w:type="gramEnd"/>
      <w:r w:rsidR="00B46692" w:rsidRPr="00DD1AFC">
        <w:rPr>
          <w:rStyle w:val="TMSRMN"/>
          <w:sz w:val="22"/>
          <w:szCs w:val="22"/>
          <w:lang w:val="en-US"/>
        </w:rPr>
        <w:t>L</w:t>
      </w:r>
      <w:r w:rsidRPr="00DD1AFC">
        <w:rPr>
          <w:rStyle w:val="TMSRMN"/>
          <w:sz w:val="22"/>
          <w:szCs w:val="22"/>
          <w:lang w:val="en-US"/>
        </w:rPr>
        <w:t>)(</w:t>
      </w:r>
      <w:r w:rsidR="00B46692" w:rsidRPr="00DD1AFC">
        <w:rPr>
          <w:rStyle w:val="TMSRMN"/>
          <w:sz w:val="22"/>
          <w:szCs w:val="22"/>
          <w:lang w:val="en-US"/>
        </w:rPr>
        <w:t>L’</w:t>
      </w:r>
      <w:r w:rsidRPr="00DD1AFC">
        <w:rPr>
          <w:rStyle w:val="TMSRMN"/>
          <w:sz w:val="22"/>
          <w:szCs w:val="22"/>
          <w:lang w:val="en-US"/>
        </w:rPr>
        <w:t>)]</w:t>
      </w:r>
      <w:r w:rsidRPr="00DD1AFC">
        <w:rPr>
          <w:rStyle w:val="TMSRMN"/>
          <w:sz w:val="22"/>
          <w:szCs w:val="22"/>
          <w:vertAlign w:val="superscript"/>
          <w:lang w:val="en-US"/>
        </w:rPr>
        <w:t>3+</w:t>
      </w:r>
      <w:r w:rsidR="00B46692" w:rsidRPr="00DD1AFC">
        <w:rPr>
          <w:rStyle w:val="TMSRMN"/>
          <w:sz w:val="22"/>
          <w:szCs w:val="22"/>
          <w:lang w:val="en-US"/>
        </w:rPr>
        <w:t xml:space="preserve"> complexes, where L and L’ are two different </w:t>
      </w:r>
      <w:proofErr w:type="spellStart"/>
      <w:r w:rsidR="00B46692" w:rsidRPr="00DD1AFC">
        <w:rPr>
          <w:rStyle w:val="TMSRMN"/>
          <w:sz w:val="22"/>
          <w:szCs w:val="22"/>
          <w:lang w:val="en-US"/>
        </w:rPr>
        <w:t>polyaromatic</w:t>
      </w:r>
      <w:proofErr w:type="spellEnd"/>
      <w:r w:rsidR="00B46692" w:rsidRPr="00DD1AFC">
        <w:rPr>
          <w:rStyle w:val="TMSRMN"/>
          <w:sz w:val="22"/>
          <w:szCs w:val="22"/>
          <w:lang w:val="en-US"/>
        </w:rPr>
        <w:t xml:space="preserve"> tridentate N</w:t>
      </w:r>
      <w:r w:rsidR="00B46692" w:rsidRPr="00DD1AFC">
        <w:rPr>
          <w:rStyle w:val="TMSRMN"/>
          <w:sz w:val="22"/>
          <w:szCs w:val="22"/>
          <w:vertAlign w:val="subscript"/>
          <w:lang w:val="en-US"/>
        </w:rPr>
        <w:t>3</w:t>
      </w:r>
      <w:r w:rsidR="00B46692" w:rsidRPr="00DD1AFC">
        <w:rPr>
          <w:rStyle w:val="TMSRMN"/>
          <w:sz w:val="22"/>
          <w:szCs w:val="22"/>
          <w:lang w:val="en-US"/>
        </w:rPr>
        <w:t xml:space="preserve"> ligands</w:t>
      </w:r>
      <w:r w:rsidRPr="00DD1AFC">
        <w:rPr>
          <w:rStyle w:val="TMSRMN"/>
          <w:sz w:val="22"/>
          <w:szCs w:val="22"/>
          <w:lang w:val="en-US"/>
        </w:rPr>
        <w:t xml:space="preserve"> </w:t>
      </w:r>
      <w:r w:rsidR="00B46692" w:rsidRPr="00DD1AFC">
        <w:rPr>
          <w:rStyle w:val="TMSRMN"/>
          <w:sz w:val="22"/>
          <w:szCs w:val="22"/>
          <w:lang w:val="en-US"/>
        </w:rPr>
        <w:t>forming exclusively six-membered chelate rings. The minor distortion from octahedral geometry combined with strong ligand-field strength</w:t>
      </w:r>
      <w:r w:rsidR="00DD1AFC">
        <w:rPr>
          <w:rStyle w:val="TMSRMN"/>
          <w:sz w:val="22"/>
          <w:szCs w:val="22"/>
          <w:lang w:val="en-US"/>
        </w:rPr>
        <w:t>s provide</w:t>
      </w:r>
      <w:r w:rsidR="00B46692" w:rsidRPr="00DD1AFC">
        <w:rPr>
          <w:rStyle w:val="TMSRMN"/>
          <w:sz w:val="22"/>
          <w:szCs w:val="22"/>
          <w:lang w:val="en-US"/>
        </w:rPr>
        <w:t xml:space="preserve"> strongly luminescent probes which could be </w:t>
      </w:r>
      <w:r w:rsidR="00DD1AFC">
        <w:rPr>
          <w:rStyle w:val="TMSRMN"/>
          <w:sz w:val="22"/>
          <w:szCs w:val="22"/>
          <w:lang w:val="en-US"/>
        </w:rPr>
        <w:t>exploited</w:t>
      </w:r>
      <w:bookmarkStart w:id="2" w:name="_GoBack"/>
      <w:bookmarkEnd w:id="2"/>
      <w:r w:rsidR="00B46692" w:rsidRPr="00DD1AFC">
        <w:rPr>
          <w:rStyle w:val="TMSRMN"/>
          <w:sz w:val="22"/>
          <w:szCs w:val="22"/>
          <w:lang w:val="en-US"/>
        </w:rPr>
        <w:t xml:space="preserve"> both as sensitizers or activators in polymetallic light-concerting devices.</w:t>
      </w:r>
    </w:p>
    <w:p w14:paraId="3D010C1E" w14:textId="664DC8D9" w:rsidR="005253D8" w:rsidRPr="00DD1AFC" w:rsidRDefault="005253D8" w:rsidP="00DD1AFC">
      <w:pPr>
        <w:tabs>
          <w:tab w:val="left" w:pos="5670"/>
        </w:tabs>
        <w:suppressAutoHyphens/>
        <w:spacing w:line="320" w:lineRule="atLeast"/>
        <w:ind w:firstLine="425"/>
        <w:jc w:val="both"/>
        <w:rPr>
          <w:rStyle w:val="TMSRMN"/>
          <w:sz w:val="22"/>
          <w:szCs w:val="22"/>
          <w:lang w:val="en-US"/>
        </w:rPr>
      </w:pPr>
      <w:r w:rsidRPr="00DD1AFC">
        <w:rPr>
          <w:rStyle w:val="TMSRMN"/>
          <w:sz w:val="22"/>
          <w:szCs w:val="22"/>
          <w:lang w:val="en-US"/>
        </w:rPr>
        <w:t xml:space="preserve">Taking into account that this </w:t>
      </w:r>
      <w:r w:rsidR="00B46692" w:rsidRPr="00DD1AFC">
        <w:rPr>
          <w:rStyle w:val="TMSRMN"/>
          <w:sz w:val="22"/>
          <w:szCs w:val="22"/>
          <w:lang w:val="en-US"/>
        </w:rPr>
        <w:t>flexible and versatile</w:t>
      </w:r>
      <w:r w:rsidRPr="00DD1AFC">
        <w:rPr>
          <w:rStyle w:val="TMSRMN"/>
          <w:sz w:val="22"/>
          <w:szCs w:val="22"/>
          <w:lang w:val="en-US"/>
        </w:rPr>
        <w:t xml:space="preserve"> synthetic strategy </w:t>
      </w:r>
      <w:r w:rsidR="00B46692" w:rsidRPr="00DD1AFC">
        <w:rPr>
          <w:rStyle w:val="TMSRMN"/>
          <w:sz w:val="22"/>
          <w:szCs w:val="22"/>
          <w:lang w:val="en-US"/>
        </w:rPr>
        <w:t xml:space="preserve">may </w:t>
      </w:r>
      <w:r w:rsidRPr="00DD1AFC">
        <w:rPr>
          <w:rStyle w:val="TMSRMN"/>
          <w:sz w:val="22"/>
          <w:szCs w:val="22"/>
          <w:lang w:val="en-US"/>
        </w:rPr>
        <w:t xml:space="preserve">open vast prospects for pushing molecular </w:t>
      </w:r>
      <w:proofErr w:type="gramStart"/>
      <w:r w:rsidRPr="00DD1AFC">
        <w:rPr>
          <w:rStyle w:val="TMSRMN"/>
          <w:sz w:val="22"/>
          <w:szCs w:val="22"/>
          <w:lang w:val="en-US"/>
        </w:rPr>
        <w:t>Cr(</w:t>
      </w:r>
      <w:proofErr w:type="gramEnd"/>
      <w:r w:rsidRPr="00DD1AFC">
        <w:rPr>
          <w:rStyle w:val="TMSRMN"/>
          <w:sz w:val="22"/>
          <w:szCs w:val="22"/>
          <w:lang w:val="en-US"/>
        </w:rPr>
        <w:t xml:space="preserve">III) </w:t>
      </w:r>
      <w:proofErr w:type="spellStart"/>
      <w:r w:rsidRPr="00DD1AFC">
        <w:rPr>
          <w:rStyle w:val="TMSRMN"/>
          <w:sz w:val="22"/>
          <w:szCs w:val="22"/>
          <w:lang w:val="en-US"/>
        </w:rPr>
        <w:t>photophysics</w:t>
      </w:r>
      <w:proofErr w:type="spellEnd"/>
      <w:r w:rsidRPr="00DD1AFC">
        <w:rPr>
          <w:rStyle w:val="TMSRMN"/>
          <w:sz w:val="22"/>
          <w:szCs w:val="22"/>
          <w:lang w:val="en-US"/>
        </w:rPr>
        <w:t xml:space="preserve"> and chemistry into the field of applications, we foresee that </w:t>
      </w:r>
      <w:r w:rsidR="00B46692" w:rsidRPr="00DD1AFC">
        <w:rPr>
          <w:rStyle w:val="TMSRMN"/>
          <w:sz w:val="22"/>
          <w:szCs w:val="22"/>
          <w:lang w:val="en-US"/>
        </w:rPr>
        <w:t xml:space="preserve">it is worth to deliver a short and concise message to </w:t>
      </w:r>
      <w:r w:rsidRPr="00DD1AFC">
        <w:rPr>
          <w:rStyle w:val="TMSRMN"/>
          <w:sz w:val="22"/>
          <w:szCs w:val="22"/>
          <w:lang w:val="en-US"/>
        </w:rPr>
        <w:t>the chemical community via the publication of a rapid communication in Chemical Communications.</w:t>
      </w:r>
    </w:p>
    <w:p w14:paraId="215FFD6A" w14:textId="77777777" w:rsidR="005253D8" w:rsidRPr="00DD1AFC" w:rsidRDefault="005253D8" w:rsidP="00DD1AFC">
      <w:pPr>
        <w:tabs>
          <w:tab w:val="left" w:pos="5670"/>
        </w:tabs>
        <w:suppressAutoHyphens/>
        <w:spacing w:line="320" w:lineRule="atLeast"/>
        <w:ind w:firstLine="426"/>
        <w:jc w:val="both"/>
        <w:rPr>
          <w:rStyle w:val="TMSRMN"/>
          <w:sz w:val="22"/>
          <w:szCs w:val="22"/>
          <w:lang w:val="en-US"/>
        </w:rPr>
      </w:pPr>
      <w:r w:rsidRPr="00DD1AFC">
        <w:rPr>
          <w:rStyle w:val="TMSRMN"/>
          <w:sz w:val="22"/>
          <w:szCs w:val="22"/>
          <w:lang w:val="en-US"/>
        </w:rPr>
        <w:t>Thanking you in advance for your consideration of this manuscript, we remain.</w:t>
      </w:r>
    </w:p>
    <w:bookmarkEnd w:id="0"/>
    <w:bookmarkEnd w:id="1"/>
    <w:p w14:paraId="0C326E75" w14:textId="7A899229" w:rsidR="00C5293D" w:rsidRPr="0049275B" w:rsidRDefault="005253D8" w:rsidP="005253D8">
      <w:pPr>
        <w:tabs>
          <w:tab w:val="left" w:pos="1843"/>
          <w:tab w:val="left" w:pos="4820"/>
        </w:tabs>
        <w:spacing w:line="300" w:lineRule="atLeast"/>
        <w:rPr>
          <w:rFonts w:ascii="Times New Roman" w:hAnsi="Times New Roman"/>
          <w:sz w:val="22"/>
          <w:szCs w:val="22"/>
          <w:lang w:val="fr-CH"/>
        </w:rPr>
      </w:pPr>
      <w:r>
        <w:rPr>
          <w:rFonts w:ascii="Times New Roman" w:hAnsi="Times New Roman"/>
          <w:sz w:val="22"/>
          <w:szCs w:val="22"/>
          <w:lang w:val="en-US"/>
        </w:rPr>
        <w:tab/>
      </w:r>
      <w:r w:rsidR="003049FA" w:rsidRPr="00115DAA">
        <w:rPr>
          <w:rFonts w:ascii="Times New Roman" w:hAnsi="Times New Roman"/>
          <w:sz w:val="22"/>
          <w:szCs w:val="22"/>
          <w:lang w:val="en-US"/>
        </w:rPr>
        <w:tab/>
      </w:r>
      <w:r w:rsidR="003049FA">
        <w:rPr>
          <w:rFonts w:ascii="Times New Roman" w:hAnsi="Times New Roman"/>
          <w:noProof/>
          <w:sz w:val="22"/>
          <w:szCs w:val="22"/>
          <w:lang w:val="en-US" w:eastAsia="en-US"/>
        </w:rPr>
        <w:drawing>
          <wp:inline distT="0" distB="0" distL="0" distR="0" wp14:anchorId="7C543DF8" wp14:editId="46DA4642">
            <wp:extent cx="1143000" cy="391153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nature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802" cy="391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C4410B" w14:textId="725CDF03" w:rsidR="00812B10" w:rsidRPr="0049275B" w:rsidRDefault="005253D8" w:rsidP="005253D8">
      <w:pPr>
        <w:tabs>
          <w:tab w:val="left" w:pos="1843"/>
          <w:tab w:val="left" w:pos="4962"/>
        </w:tabs>
        <w:spacing w:line="300" w:lineRule="atLeast"/>
        <w:rPr>
          <w:rFonts w:ascii="Times New Roman" w:hAnsi="Times New Roman"/>
          <w:sz w:val="22"/>
          <w:szCs w:val="22"/>
          <w:lang w:val="fr-CH"/>
        </w:rPr>
      </w:pPr>
      <w:r>
        <w:rPr>
          <w:rFonts w:ascii="Times New Roman" w:hAnsi="Times New Roman"/>
          <w:sz w:val="22"/>
          <w:szCs w:val="22"/>
          <w:lang w:val="fr-CH"/>
        </w:rPr>
        <w:tab/>
        <w:t>Juan Jimenez</w:t>
      </w:r>
      <w:r>
        <w:rPr>
          <w:rFonts w:ascii="Times New Roman" w:hAnsi="Times New Roman"/>
          <w:sz w:val="22"/>
          <w:szCs w:val="22"/>
          <w:lang w:val="fr-CH"/>
        </w:rPr>
        <w:tab/>
      </w:r>
      <w:r w:rsidR="00834B0F" w:rsidRPr="0049275B">
        <w:rPr>
          <w:rFonts w:ascii="Times New Roman" w:hAnsi="Times New Roman"/>
          <w:sz w:val="22"/>
          <w:szCs w:val="22"/>
          <w:lang w:val="fr-CH"/>
        </w:rPr>
        <w:t>Claude Piguet</w:t>
      </w:r>
    </w:p>
    <w:p w14:paraId="550001DC" w14:textId="5719D2E9" w:rsidR="00812B10" w:rsidRPr="0049275B" w:rsidRDefault="005253D8" w:rsidP="005253D8">
      <w:pPr>
        <w:tabs>
          <w:tab w:val="left" w:pos="1843"/>
          <w:tab w:val="left" w:pos="4962"/>
        </w:tabs>
        <w:rPr>
          <w:rFonts w:ascii="Times New Roman" w:hAnsi="Times New Roman"/>
          <w:i/>
          <w:sz w:val="22"/>
          <w:szCs w:val="22"/>
          <w:lang w:val="fr-CH"/>
        </w:rPr>
      </w:pPr>
      <w:r>
        <w:rPr>
          <w:rFonts w:ascii="Times New Roman" w:hAnsi="Times New Roman"/>
          <w:i/>
          <w:sz w:val="22"/>
          <w:szCs w:val="22"/>
          <w:lang w:val="fr-CH"/>
        </w:rPr>
        <w:tab/>
        <w:t xml:space="preserve">Junior </w:t>
      </w:r>
      <w:proofErr w:type="spellStart"/>
      <w:r>
        <w:rPr>
          <w:rFonts w:ascii="Times New Roman" w:hAnsi="Times New Roman"/>
          <w:i/>
          <w:sz w:val="22"/>
          <w:szCs w:val="22"/>
          <w:lang w:val="fr-CH"/>
        </w:rPr>
        <w:t>Lecturer</w:t>
      </w:r>
      <w:proofErr w:type="spellEnd"/>
      <w:r>
        <w:rPr>
          <w:rFonts w:ascii="Times New Roman" w:hAnsi="Times New Roman"/>
          <w:i/>
          <w:sz w:val="22"/>
          <w:szCs w:val="22"/>
          <w:lang w:val="fr-CH"/>
        </w:rPr>
        <w:tab/>
      </w:r>
      <w:r w:rsidR="00765ED0">
        <w:rPr>
          <w:rFonts w:ascii="Times New Roman" w:hAnsi="Times New Roman"/>
          <w:i/>
          <w:sz w:val="22"/>
          <w:szCs w:val="22"/>
          <w:lang w:val="fr-CH"/>
        </w:rPr>
        <w:t xml:space="preserve">Full Professor </w:t>
      </w:r>
    </w:p>
    <w:sectPr w:rsidR="00812B10" w:rsidRPr="0049275B" w:rsidSect="001C7EC9">
      <w:headerReference w:type="first" r:id="rId7"/>
      <w:footerReference w:type="first" r:id="rId8"/>
      <w:pgSz w:w="11906" w:h="16838" w:code="9"/>
      <w:pgMar w:top="1134" w:right="1134" w:bottom="1531" w:left="1134" w:header="851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AFE766" w14:textId="77777777" w:rsidR="00846FBC" w:rsidRDefault="00846FBC">
      <w:r>
        <w:separator/>
      </w:r>
    </w:p>
  </w:endnote>
  <w:endnote w:type="continuationSeparator" w:id="0">
    <w:p w14:paraId="68EF3B45" w14:textId="77777777" w:rsidR="00846FBC" w:rsidRDefault="00846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B840F" w14:textId="77777777" w:rsidR="00B452BD" w:rsidRPr="00795913" w:rsidRDefault="00B452BD" w:rsidP="00B452BD">
    <w:pPr>
      <w:pStyle w:val="Footer"/>
      <w:pBdr>
        <w:top w:val="single" w:sz="4" w:space="5" w:color="auto"/>
      </w:pBdr>
      <w:rPr>
        <w:bCs/>
      </w:rPr>
    </w:pPr>
    <w:r>
      <w:rPr>
        <w:bCs/>
      </w:rPr>
      <w:t xml:space="preserve">Sciences II - </w:t>
    </w:r>
    <w:r>
      <w:t>30 quai Ernest-Ansermet - CH-1211 Genève 4</w:t>
    </w:r>
  </w:p>
  <w:p w14:paraId="389613BC" w14:textId="77777777" w:rsidR="003B72C1" w:rsidRPr="00B452BD" w:rsidRDefault="00B452BD" w:rsidP="00B452BD">
    <w:pPr>
      <w:pStyle w:val="Footer"/>
    </w:pPr>
    <w:r>
      <w:t>Tél. 022 3796408 - Fax 22 3796830 - www.unige.ch/sciences/chiam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4F320F" w14:textId="77777777" w:rsidR="00846FBC" w:rsidRDefault="00846FBC">
      <w:r>
        <w:separator/>
      </w:r>
    </w:p>
  </w:footnote>
  <w:footnote w:type="continuationSeparator" w:id="0">
    <w:p w14:paraId="5F033850" w14:textId="77777777" w:rsidR="00846FBC" w:rsidRDefault="00846F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C1E94B" w14:textId="77777777" w:rsidR="00656D67" w:rsidRDefault="004B7157" w:rsidP="003A08D6">
    <w:pPr>
      <w:pStyle w:val="Header"/>
      <w:spacing w:line="240" w:lineRule="auto"/>
      <w:ind w:left="-993"/>
    </w:pPr>
    <w:r>
      <w:rPr>
        <w:noProof/>
        <w:lang w:val="en-US" w:eastAsia="en-US"/>
      </w:rPr>
      <w:drawing>
        <wp:inline distT="0" distB="0" distL="0" distR="0" wp14:anchorId="331E3F8F" wp14:editId="2A7927CB">
          <wp:extent cx="2133600" cy="1120140"/>
          <wp:effectExtent l="0" t="0" r="0" b="3810"/>
          <wp:docPr id="1" name="Picture 1" descr="chimie_minerale_analytique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himie_minerale_analytique5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1120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1FA382" w14:textId="77777777" w:rsidR="00656D67" w:rsidRPr="00656D67" w:rsidRDefault="007E4212">
    <w:pPr>
      <w:pStyle w:val="Header"/>
      <w:rPr>
        <w:b/>
      </w:rPr>
    </w:pPr>
    <w:r>
      <w:rPr>
        <w:b/>
      </w:rPr>
      <w:t>Claude Piguet</w:t>
    </w:r>
  </w:p>
  <w:p w14:paraId="5CD09415" w14:textId="77777777" w:rsidR="00656D67" w:rsidRDefault="00B87CC3" w:rsidP="00795913">
    <w:pPr>
      <w:pStyle w:val="Header"/>
      <w:spacing w:after="70"/>
    </w:pPr>
    <w:r>
      <w:t>Professeur ordinaire</w:t>
    </w:r>
  </w:p>
  <w:p w14:paraId="48CDCC02" w14:textId="77777777" w:rsidR="00795913" w:rsidRDefault="00795913" w:rsidP="00795913">
    <w:pPr>
      <w:pStyle w:val="Footer"/>
    </w:pPr>
    <w:r>
      <w:t xml:space="preserve">Ligne directe: 022 379 </w:t>
    </w:r>
    <w:r w:rsidR="00B87CC3">
      <w:t>6</w:t>
    </w:r>
    <w:r w:rsidR="00A16E76">
      <w:t>0</w:t>
    </w:r>
    <w:r w:rsidR="00B87CC3">
      <w:t xml:space="preserve"> </w:t>
    </w:r>
    <w:r w:rsidR="00A16E76">
      <w:t>34</w:t>
    </w:r>
  </w:p>
  <w:p w14:paraId="1A185586" w14:textId="77777777" w:rsidR="00795913" w:rsidRDefault="007E4212" w:rsidP="00795913">
    <w:pPr>
      <w:pStyle w:val="Footer"/>
    </w:pPr>
    <w:r>
      <w:t>Claude</w:t>
    </w:r>
    <w:r w:rsidR="001524F4">
      <w:t>.</w:t>
    </w:r>
    <w:r>
      <w:t>Piguet</w:t>
    </w:r>
    <w:r w:rsidR="001524F4">
      <w:t>@</w:t>
    </w:r>
    <w:r w:rsidR="00795913">
      <w:t>unige.ch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7FE"/>
    <w:rsid w:val="00014E24"/>
    <w:rsid w:val="000158F2"/>
    <w:rsid w:val="000242CA"/>
    <w:rsid w:val="00024668"/>
    <w:rsid w:val="00026B40"/>
    <w:rsid w:val="000556F2"/>
    <w:rsid w:val="000767FE"/>
    <w:rsid w:val="000A450E"/>
    <w:rsid w:val="000A4E01"/>
    <w:rsid w:val="000B62E6"/>
    <w:rsid w:val="000D0DFE"/>
    <w:rsid w:val="000D3842"/>
    <w:rsid w:val="000E4562"/>
    <w:rsid w:val="000E66BB"/>
    <w:rsid w:val="000E718C"/>
    <w:rsid w:val="00115DAA"/>
    <w:rsid w:val="00116139"/>
    <w:rsid w:val="001524F4"/>
    <w:rsid w:val="0015354D"/>
    <w:rsid w:val="00164CE5"/>
    <w:rsid w:val="001720CA"/>
    <w:rsid w:val="001943EB"/>
    <w:rsid w:val="001C7EC9"/>
    <w:rsid w:val="001D1395"/>
    <w:rsid w:val="001E0027"/>
    <w:rsid w:val="001E15C9"/>
    <w:rsid w:val="001E4B3E"/>
    <w:rsid w:val="001F6E5E"/>
    <w:rsid w:val="0020252F"/>
    <w:rsid w:val="00203510"/>
    <w:rsid w:val="00205EE5"/>
    <w:rsid w:val="00206191"/>
    <w:rsid w:val="00216B8F"/>
    <w:rsid w:val="0023055F"/>
    <w:rsid w:val="00230D0B"/>
    <w:rsid w:val="002450A9"/>
    <w:rsid w:val="00256229"/>
    <w:rsid w:val="00263EB6"/>
    <w:rsid w:val="00270335"/>
    <w:rsid w:val="00272FDE"/>
    <w:rsid w:val="002902B0"/>
    <w:rsid w:val="002965A6"/>
    <w:rsid w:val="00297730"/>
    <w:rsid w:val="00297A5B"/>
    <w:rsid w:val="002A3F48"/>
    <w:rsid w:val="002A4DB0"/>
    <w:rsid w:val="002A7326"/>
    <w:rsid w:val="002B6BC8"/>
    <w:rsid w:val="002C2B39"/>
    <w:rsid w:val="002C5C6A"/>
    <w:rsid w:val="002E0C97"/>
    <w:rsid w:val="002F0E4F"/>
    <w:rsid w:val="0030195C"/>
    <w:rsid w:val="003049FA"/>
    <w:rsid w:val="00320D54"/>
    <w:rsid w:val="00325538"/>
    <w:rsid w:val="00334467"/>
    <w:rsid w:val="00336673"/>
    <w:rsid w:val="003720F0"/>
    <w:rsid w:val="00393F00"/>
    <w:rsid w:val="00397D57"/>
    <w:rsid w:val="003A08D6"/>
    <w:rsid w:val="003B3C6E"/>
    <w:rsid w:val="003B4D7E"/>
    <w:rsid w:val="003B72C1"/>
    <w:rsid w:val="003B77E6"/>
    <w:rsid w:val="003C2B8E"/>
    <w:rsid w:val="003E55F1"/>
    <w:rsid w:val="004011E2"/>
    <w:rsid w:val="004036C4"/>
    <w:rsid w:val="00414CCC"/>
    <w:rsid w:val="00420442"/>
    <w:rsid w:val="00446C84"/>
    <w:rsid w:val="00460208"/>
    <w:rsid w:val="004615A3"/>
    <w:rsid w:val="0049275B"/>
    <w:rsid w:val="004A48DC"/>
    <w:rsid w:val="004B3841"/>
    <w:rsid w:val="004B7157"/>
    <w:rsid w:val="004D7BED"/>
    <w:rsid w:val="004E20C6"/>
    <w:rsid w:val="004E7FE1"/>
    <w:rsid w:val="004F335E"/>
    <w:rsid w:val="004F6A2D"/>
    <w:rsid w:val="0050749A"/>
    <w:rsid w:val="00511F95"/>
    <w:rsid w:val="00524442"/>
    <w:rsid w:val="005253D8"/>
    <w:rsid w:val="005262D9"/>
    <w:rsid w:val="00530911"/>
    <w:rsid w:val="00561F58"/>
    <w:rsid w:val="00576238"/>
    <w:rsid w:val="00583C51"/>
    <w:rsid w:val="00596B99"/>
    <w:rsid w:val="005A2DD9"/>
    <w:rsid w:val="005B13BC"/>
    <w:rsid w:val="005D479A"/>
    <w:rsid w:val="005E60F0"/>
    <w:rsid w:val="005F6395"/>
    <w:rsid w:val="006036E6"/>
    <w:rsid w:val="00613D1A"/>
    <w:rsid w:val="00620D07"/>
    <w:rsid w:val="00625475"/>
    <w:rsid w:val="006546D8"/>
    <w:rsid w:val="00656D67"/>
    <w:rsid w:val="006921B7"/>
    <w:rsid w:val="00693F0D"/>
    <w:rsid w:val="006B6AC0"/>
    <w:rsid w:val="006C7DEA"/>
    <w:rsid w:val="006D2394"/>
    <w:rsid w:val="006F420E"/>
    <w:rsid w:val="00712A5E"/>
    <w:rsid w:val="00720C6C"/>
    <w:rsid w:val="00720D26"/>
    <w:rsid w:val="00730129"/>
    <w:rsid w:val="00730976"/>
    <w:rsid w:val="00757D92"/>
    <w:rsid w:val="0076077B"/>
    <w:rsid w:val="00765ED0"/>
    <w:rsid w:val="007720E9"/>
    <w:rsid w:val="0077352A"/>
    <w:rsid w:val="00777AFB"/>
    <w:rsid w:val="007832BF"/>
    <w:rsid w:val="00785A55"/>
    <w:rsid w:val="00794EFF"/>
    <w:rsid w:val="00795913"/>
    <w:rsid w:val="007D7AF9"/>
    <w:rsid w:val="007E4212"/>
    <w:rsid w:val="007F68E7"/>
    <w:rsid w:val="007F735B"/>
    <w:rsid w:val="0080061C"/>
    <w:rsid w:val="00812B10"/>
    <w:rsid w:val="00812DC4"/>
    <w:rsid w:val="00815B69"/>
    <w:rsid w:val="00817D16"/>
    <w:rsid w:val="00834B0F"/>
    <w:rsid w:val="00834CB1"/>
    <w:rsid w:val="00840563"/>
    <w:rsid w:val="00846FBC"/>
    <w:rsid w:val="00861537"/>
    <w:rsid w:val="00861DEF"/>
    <w:rsid w:val="00865325"/>
    <w:rsid w:val="00876420"/>
    <w:rsid w:val="008B5770"/>
    <w:rsid w:val="008B5FAD"/>
    <w:rsid w:val="008C45E7"/>
    <w:rsid w:val="008D27F6"/>
    <w:rsid w:val="008D2C1D"/>
    <w:rsid w:val="008D6EAA"/>
    <w:rsid w:val="008E3E7F"/>
    <w:rsid w:val="00905CC1"/>
    <w:rsid w:val="00914F68"/>
    <w:rsid w:val="009155C9"/>
    <w:rsid w:val="00921740"/>
    <w:rsid w:val="00925DDF"/>
    <w:rsid w:val="00944C72"/>
    <w:rsid w:val="00954350"/>
    <w:rsid w:val="00962F6A"/>
    <w:rsid w:val="00976C74"/>
    <w:rsid w:val="00980125"/>
    <w:rsid w:val="00980182"/>
    <w:rsid w:val="009813DD"/>
    <w:rsid w:val="00987286"/>
    <w:rsid w:val="009B3520"/>
    <w:rsid w:val="009C06C4"/>
    <w:rsid w:val="009C72F6"/>
    <w:rsid w:val="009D2EEA"/>
    <w:rsid w:val="009D5C89"/>
    <w:rsid w:val="009E39E4"/>
    <w:rsid w:val="00A03BC2"/>
    <w:rsid w:val="00A10DB0"/>
    <w:rsid w:val="00A10FC8"/>
    <w:rsid w:val="00A16E15"/>
    <w:rsid w:val="00A16E76"/>
    <w:rsid w:val="00A4367C"/>
    <w:rsid w:val="00A4612D"/>
    <w:rsid w:val="00A547FE"/>
    <w:rsid w:val="00A5665E"/>
    <w:rsid w:val="00A66DF2"/>
    <w:rsid w:val="00A67C04"/>
    <w:rsid w:val="00A705F0"/>
    <w:rsid w:val="00A86CE9"/>
    <w:rsid w:val="00A86D88"/>
    <w:rsid w:val="00A91AA2"/>
    <w:rsid w:val="00A936AD"/>
    <w:rsid w:val="00A9551F"/>
    <w:rsid w:val="00AA3DB3"/>
    <w:rsid w:val="00AA64ED"/>
    <w:rsid w:val="00AC5F02"/>
    <w:rsid w:val="00AD1374"/>
    <w:rsid w:val="00B068C5"/>
    <w:rsid w:val="00B178BF"/>
    <w:rsid w:val="00B22FFF"/>
    <w:rsid w:val="00B321F1"/>
    <w:rsid w:val="00B452BD"/>
    <w:rsid w:val="00B46692"/>
    <w:rsid w:val="00B46E6C"/>
    <w:rsid w:val="00B4725B"/>
    <w:rsid w:val="00B57B82"/>
    <w:rsid w:val="00B6699B"/>
    <w:rsid w:val="00B87CC3"/>
    <w:rsid w:val="00BB0067"/>
    <w:rsid w:val="00BC42B6"/>
    <w:rsid w:val="00BD5884"/>
    <w:rsid w:val="00BE0D82"/>
    <w:rsid w:val="00C02D69"/>
    <w:rsid w:val="00C13429"/>
    <w:rsid w:val="00C17FF9"/>
    <w:rsid w:val="00C346A2"/>
    <w:rsid w:val="00C5293D"/>
    <w:rsid w:val="00C5407B"/>
    <w:rsid w:val="00C61644"/>
    <w:rsid w:val="00C94DFD"/>
    <w:rsid w:val="00C96D5D"/>
    <w:rsid w:val="00CB58E6"/>
    <w:rsid w:val="00CB6C75"/>
    <w:rsid w:val="00CE31C6"/>
    <w:rsid w:val="00CF1ED5"/>
    <w:rsid w:val="00D10910"/>
    <w:rsid w:val="00D217CB"/>
    <w:rsid w:val="00D356E0"/>
    <w:rsid w:val="00D4192A"/>
    <w:rsid w:val="00D571F8"/>
    <w:rsid w:val="00D712FA"/>
    <w:rsid w:val="00D82DF7"/>
    <w:rsid w:val="00DC6211"/>
    <w:rsid w:val="00DD1AFC"/>
    <w:rsid w:val="00DD2FA2"/>
    <w:rsid w:val="00DE5526"/>
    <w:rsid w:val="00DF20E3"/>
    <w:rsid w:val="00DF3C1D"/>
    <w:rsid w:val="00DF4D77"/>
    <w:rsid w:val="00E266C3"/>
    <w:rsid w:val="00E3785D"/>
    <w:rsid w:val="00E53057"/>
    <w:rsid w:val="00E54C94"/>
    <w:rsid w:val="00E624D3"/>
    <w:rsid w:val="00E71A7C"/>
    <w:rsid w:val="00EA0548"/>
    <w:rsid w:val="00EA61C7"/>
    <w:rsid w:val="00EB480F"/>
    <w:rsid w:val="00ED2F52"/>
    <w:rsid w:val="00EF184F"/>
    <w:rsid w:val="00EF5EA6"/>
    <w:rsid w:val="00F20C3D"/>
    <w:rsid w:val="00F26ED4"/>
    <w:rsid w:val="00F31B06"/>
    <w:rsid w:val="00F35007"/>
    <w:rsid w:val="00F426FB"/>
    <w:rsid w:val="00F637AA"/>
    <w:rsid w:val="00F66E25"/>
    <w:rsid w:val="00F80D27"/>
    <w:rsid w:val="00F82200"/>
    <w:rsid w:val="00F84030"/>
    <w:rsid w:val="00F91298"/>
    <w:rsid w:val="00F95407"/>
    <w:rsid w:val="00F9765C"/>
    <w:rsid w:val="00FB5C52"/>
    <w:rsid w:val="00FC4C95"/>
    <w:rsid w:val="00FD0B0A"/>
    <w:rsid w:val="00FD3A0A"/>
    <w:rsid w:val="00FE2F6F"/>
    <w:rsid w:val="00FE431A"/>
    <w:rsid w:val="00FE5AD2"/>
    <w:rsid w:val="00FE7B3A"/>
    <w:rsid w:val="00FF16D8"/>
    <w:rsid w:val="00FF32E2"/>
    <w:rsid w:val="00FF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43BBD9"/>
  <w15:docId w15:val="{96A4870C-A21E-41B3-B1EF-B4DC9C33F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47FE"/>
    <w:rPr>
      <w:rFonts w:ascii="Arial" w:hAnsi="Arial"/>
      <w:szCs w:val="24"/>
      <w:lang w:val="fr-FR" w:eastAsia="fr-FR"/>
    </w:rPr>
  </w:style>
  <w:style w:type="paragraph" w:styleId="Heading1">
    <w:name w:val="heading 1"/>
    <w:basedOn w:val="Normal"/>
    <w:next w:val="Normal"/>
    <w:qFormat/>
    <w:rsid w:val="00FF556B"/>
    <w:pPr>
      <w:widowControl w:val="0"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Normal"/>
    <w:next w:val="Normal"/>
    <w:qFormat/>
    <w:rsid w:val="005F6395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qFormat/>
    <w:rsid w:val="00C13429"/>
    <w:pPr>
      <w:keepNext/>
      <w:outlineLvl w:val="2"/>
    </w:pPr>
    <w:rPr>
      <w:rFonts w:cs="Arial"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56D67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656D67"/>
    <w:pPr>
      <w:tabs>
        <w:tab w:val="center" w:pos="4536"/>
        <w:tab w:val="right" w:pos="9072"/>
      </w:tabs>
      <w:spacing w:line="170" w:lineRule="exact"/>
    </w:pPr>
    <w:rPr>
      <w:sz w:val="15"/>
    </w:rPr>
  </w:style>
  <w:style w:type="paragraph" w:styleId="Footer">
    <w:name w:val="footer"/>
    <w:basedOn w:val="Normal"/>
    <w:rsid w:val="00F9765C"/>
    <w:pPr>
      <w:tabs>
        <w:tab w:val="center" w:pos="4536"/>
        <w:tab w:val="right" w:pos="9072"/>
      </w:tabs>
      <w:spacing w:line="170" w:lineRule="exact"/>
    </w:pPr>
    <w:rPr>
      <w:sz w:val="15"/>
    </w:rPr>
  </w:style>
  <w:style w:type="character" w:styleId="Hyperlink">
    <w:name w:val="Hyperlink"/>
    <w:rsid w:val="003B72C1"/>
    <w:rPr>
      <w:color w:val="0000FF"/>
      <w:u w:val="single"/>
    </w:rPr>
  </w:style>
  <w:style w:type="character" w:customStyle="1" w:styleId="TMSRMN">
    <w:name w:val="TMSRMN"/>
    <w:rsid w:val="00EA61C7"/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semiHidden/>
    <w:unhideWhenUsed/>
    <w:rsid w:val="00ED2F5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2F52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2F52"/>
    <w:rPr>
      <w:rFonts w:ascii="Arial" w:hAnsi="Arial"/>
      <w:lang w:val="fr-FR" w:eastAsia="fr-FR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D2F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D2F52"/>
    <w:rPr>
      <w:rFonts w:ascii="Arial" w:hAnsi="Arial"/>
      <w:b/>
      <w:bCs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35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XXX</vt:lpstr>
      <vt:lpstr>XXX</vt:lpstr>
    </vt:vector>
  </TitlesOfParts>
  <Company>Université de Genève</Company>
  <LinksUpToDate>false</LinksUpToDate>
  <CharactersWithSpaces>2824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XXX</dc:title>
  <dc:creator>UNIGE</dc:creator>
  <cp:lastModifiedBy>Claude Piguet</cp:lastModifiedBy>
  <cp:revision>5</cp:revision>
  <cp:lastPrinted>2018-08-31T07:42:00Z</cp:lastPrinted>
  <dcterms:created xsi:type="dcterms:W3CDTF">2019-11-22T16:54:00Z</dcterms:created>
  <dcterms:modified xsi:type="dcterms:W3CDTF">2020-07-14T15:08:00Z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american-chemical-society</vt:lpwstr>
  </property>
</Properties>
</file>